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524BD" w14:textId="7D403D98" w:rsidR="008808C8" w:rsidRDefault="008808C8" w:rsidP="008808C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Giordano Bruno Giambattista Vico e la filosofia meridionale</w:t>
      </w:r>
    </w:p>
    <w:p w14:paraId="0BF749D1" w14:textId="40FA9947" w:rsidR="008808C8" w:rsidRDefault="008808C8" w:rsidP="008808C8">
      <w:pPr>
        <w:jc w:val="center"/>
        <w:rPr>
          <w:sz w:val="28"/>
          <w:szCs w:val="28"/>
        </w:rPr>
      </w:pPr>
      <w:r>
        <w:rPr>
          <w:sz w:val="28"/>
          <w:szCs w:val="28"/>
        </w:rPr>
        <w:t>Biagio de Giovanni</w:t>
      </w:r>
    </w:p>
    <w:p w14:paraId="1F3A53C8" w14:textId="28DD7213" w:rsidR="008808C8" w:rsidRDefault="008808C8" w:rsidP="008808C8">
      <w:pPr>
        <w:jc w:val="center"/>
        <w:rPr>
          <w:sz w:val="28"/>
          <w:szCs w:val="28"/>
        </w:rPr>
      </w:pPr>
      <w:r>
        <w:rPr>
          <w:sz w:val="28"/>
          <w:szCs w:val="28"/>
        </w:rPr>
        <w:t>Recensione di Danilo Di Matteo</w:t>
      </w:r>
    </w:p>
    <w:p w14:paraId="60387168" w14:textId="77777777" w:rsidR="008808C8" w:rsidRDefault="008808C8" w:rsidP="008808C8">
      <w:pPr>
        <w:jc w:val="center"/>
        <w:rPr>
          <w:sz w:val="28"/>
          <w:szCs w:val="28"/>
        </w:rPr>
      </w:pPr>
    </w:p>
    <w:p w14:paraId="3075233C" w14:textId="6AB3BF62" w:rsidR="00786D06" w:rsidRDefault="008808C8" w:rsidP="0088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Somigliano a pennellate rapide, intense e suggestive le parole e le considerazioni di Biagio de Giovanni proposte nel volumetto </w:t>
      </w:r>
      <w:r>
        <w:rPr>
          <w:i/>
          <w:iCs/>
          <w:sz w:val="28"/>
          <w:szCs w:val="28"/>
        </w:rPr>
        <w:t>Giordano Bruno Giambattista Vico e la filosofia meridionale</w:t>
      </w:r>
      <w:r>
        <w:rPr>
          <w:sz w:val="28"/>
          <w:szCs w:val="28"/>
        </w:rPr>
        <w:t>. Così lo stile immaginifico, il linguaggio fortemente evocativo dei due filosofi oggetto di studio e di riflessione</w:t>
      </w:r>
      <w:r w:rsidR="003941AA">
        <w:rPr>
          <w:sz w:val="28"/>
          <w:szCs w:val="28"/>
        </w:rPr>
        <w:t xml:space="preserve"> – basato, insieme, sulle “visioni” e sul “racconto” – finiscono</w:t>
      </w:r>
      <w:r>
        <w:rPr>
          <w:sz w:val="28"/>
          <w:szCs w:val="28"/>
        </w:rPr>
        <w:t xml:space="preserve"> per corrispondere al fluire del discorso </w:t>
      </w:r>
      <w:r w:rsidR="00786D06">
        <w:rPr>
          <w:sz w:val="28"/>
          <w:szCs w:val="28"/>
        </w:rPr>
        <w:t>e della proposta dell’autore.</w:t>
      </w:r>
    </w:p>
    <w:p w14:paraId="380BFF42" w14:textId="2CCC965C" w:rsidR="008808C8" w:rsidRDefault="00786D06" w:rsidP="0088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Bruno e Vico, dunque, pur divisi da oltre un secolo, paiono accomunati dall’ </w:t>
      </w:r>
      <w:r>
        <w:rPr>
          <w:rFonts w:cstheme="minorHAnsi"/>
          <w:sz w:val="28"/>
          <w:szCs w:val="28"/>
        </w:rPr>
        <w:t>«</w:t>
      </w:r>
      <w:r>
        <w:rPr>
          <w:sz w:val="28"/>
          <w:szCs w:val="28"/>
        </w:rPr>
        <w:t>invenzione di due linguaggi carichi di immagini più che di deduzioni di ragione riflessiva</w:t>
      </w:r>
      <w:r w:rsidR="00806A8A">
        <w:rPr>
          <w:rFonts w:cstheme="minorHAnsi"/>
          <w:sz w:val="28"/>
          <w:szCs w:val="28"/>
        </w:rPr>
        <w:t>»</w:t>
      </w:r>
      <w:r w:rsidR="00806A8A">
        <w:rPr>
          <w:sz w:val="28"/>
          <w:szCs w:val="28"/>
        </w:rPr>
        <w:t xml:space="preserve"> (p. 103), espressione dello scorrere della vita finita nel suo </w:t>
      </w:r>
      <w:r w:rsidR="00806A8A">
        <w:rPr>
          <w:i/>
          <w:iCs/>
          <w:sz w:val="28"/>
          <w:szCs w:val="28"/>
        </w:rPr>
        <w:t>urto</w:t>
      </w:r>
      <w:r w:rsidR="00806A8A">
        <w:rPr>
          <w:sz w:val="28"/>
          <w:szCs w:val="28"/>
        </w:rPr>
        <w:t xml:space="preserve"> con l’infinito: si tratti della materia-vita infinita, degli “infiniti mondi” del Nolano e del loro rapporto con la contingenza umana o della vichiana storia </w:t>
      </w:r>
      <w:proofErr w:type="spellStart"/>
      <w:r w:rsidR="00806A8A">
        <w:rPr>
          <w:sz w:val="28"/>
          <w:szCs w:val="28"/>
        </w:rPr>
        <w:t>ideal</w:t>
      </w:r>
      <w:proofErr w:type="spellEnd"/>
      <w:r w:rsidR="00806A8A">
        <w:rPr>
          <w:sz w:val="28"/>
          <w:szCs w:val="28"/>
        </w:rPr>
        <w:t xml:space="preserve">-eterna, in tensione con quella “che corre in tempo”. </w:t>
      </w:r>
      <w:r w:rsidR="00B01468">
        <w:rPr>
          <w:rFonts w:cstheme="minorHAnsi"/>
          <w:sz w:val="28"/>
          <w:szCs w:val="28"/>
        </w:rPr>
        <w:t>«</w:t>
      </w:r>
      <w:r w:rsidR="00B01468">
        <w:rPr>
          <w:sz w:val="28"/>
          <w:szCs w:val="28"/>
        </w:rPr>
        <w:t>L’altro aspetto di una sensibilità comune</w:t>
      </w:r>
      <w:r w:rsidR="00B01468">
        <w:rPr>
          <w:rFonts w:cstheme="minorHAnsi"/>
          <w:sz w:val="28"/>
          <w:szCs w:val="28"/>
        </w:rPr>
        <w:t>»</w:t>
      </w:r>
      <w:r w:rsidR="00B01468">
        <w:rPr>
          <w:sz w:val="28"/>
          <w:szCs w:val="28"/>
        </w:rPr>
        <w:t xml:space="preserve"> (p. 103) si situa nella considerazione dell’animalità dell’uomo, condizione per il suo stesso protendersi verso l’infinito: il “bestione errante” di Vico, al cospetto del tuono e del lampo, volge lo sguardo al cielo e vede in quel fulmine un messaggio divino; il “principio vitale” </w:t>
      </w:r>
      <w:proofErr w:type="spellStart"/>
      <w:r w:rsidR="00B01468">
        <w:rPr>
          <w:sz w:val="28"/>
          <w:szCs w:val="28"/>
        </w:rPr>
        <w:t>bruniano</w:t>
      </w:r>
      <w:proofErr w:type="spellEnd"/>
      <w:r w:rsidR="00B01468">
        <w:rPr>
          <w:sz w:val="28"/>
          <w:szCs w:val="28"/>
        </w:rPr>
        <w:t xml:space="preserve">, a sua volta, è “principio” </w:t>
      </w:r>
      <w:r w:rsidR="004C63CD">
        <w:rPr>
          <w:sz w:val="28"/>
          <w:szCs w:val="28"/>
        </w:rPr>
        <w:t>proprio per “l’animalità” che caratterizza l’infinito universo.</w:t>
      </w:r>
    </w:p>
    <w:p w14:paraId="0961587F" w14:textId="4D64D623" w:rsidR="004C63CD" w:rsidRDefault="004C63CD" w:rsidP="008808C8">
      <w:pPr>
        <w:jc w:val="both"/>
        <w:rPr>
          <w:sz w:val="28"/>
          <w:szCs w:val="28"/>
        </w:rPr>
      </w:pPr>
      <w:r>
        <w:rPr>
          <w:sz w:val="28"/>
          <w:szCs w:val="28"/>
        </w:rPr>
        <w:t>Il filosofo di Nola, pur scostandosene, è comunque figlio della “mente inquieta” dei pensatori rinascimentali. Egli rigetta quasi tutto ciò che lo precede</w:t>
      </w:r>
      <w:r w:rsidR="00EC0389">
        <w:rPr>
          <w:sz w:val="28"/>
          <w:szCs w:val="28"/>
        </w:rPr>
        <w:t xml:space="preserve">, in particolare quella cultura fatta </w:t>
      </w:r>
      <w:r w:rsidR="00EC0389">
        <w:rPr>
          <w:rFonts w:cstheme="minorHAnsi"/>
          <w:sz w:val="28"/>
          <w:szCs w:val="28"/>
        </w:rPr>
        <w:t>«</w:t>
      </w:r>
      <w:r w:rsidR="00EC0389">
        <w:rPr>
          <w:sz w:val="28"/>
          <w:szCs w:val="28"/>
        </w:rPr>
        <w:t>di grammatici e pedanti a vuoto</w:t>
      </w:r>
      <w:r w:rsidR="00EC0389">
        <w:rPr>
          <w:rFonts w:cstheme="minorHAnsi"/>
          <w:sz w:val="28"/>
          <w:szCs w:val="28"/>
        </w:rPr>
        <w:t>»</w:t>
      </w:r>
      <w:r w:rsidR="00EC0389">
        <w:rPr>
          <w:sz w:val="28"/>
          <w:szCs w:val="28"/>
        </w:rPr>
        <w:t xml:space="preserve"> (p. 78), salvando quasi solo il pensiero presocratico e la sapienza ermetica, ma de Giovanni sottolinea come sullo sfondo della </w:t>
      </w:r>
      <w:r w:rsidR="00EC0389" w:rsidRPr="00883DC2">
        <w:rPr>
          <w:i/>
          <w:iCs/>
          <w:sz w:val="28"/>
          <w:szCs w:val="28"/>
        </w:rPr>
        <w:t>tensione dei contra</w:t>
      </w:r>
      <w:r w:rsidR="006842F1" w:rsidRPr="00883DC2">
        <w:rPr>
          <w:i/>
          <w:iCs/>
          <w:sz w:val="28"/>
          <w:szCs w:val="28"/>
        </w:rPr>
        <w:t>r</w:t>
      </w:r>
      <w:r w:rsidR="00EC0389" w:rsidRPr="00883DC2">
        <w:rPr>
          <w:i/>
          <w:iCs/>
          <w:sz w:val="28"/>
          <w:szCs w:val="28"/>
        </w:rPr>
        <w:t>i</w:t>
      </w:r>
      <w:r w:rsidR="00EC0389">
        <w:rPr>
          <w:sz w:val="28"/>
          <w:szCs w:val="28"/>
        </w:rPr>
        <w:t xml:space="preserve"> vi sia il dispiegarsi del pensiero platonico e neoplatonico (in particolare con le </w:t>
      </w:r>
      <w:r w:rsidR="00EC0389">
        <w:rPr>
          <w:i/>
          <w:iCs/>
          <w:sz w:val="28"/>
          <w:szCs w:val="28"/>
        </w:rPr>
        <w:t xml:space="preserve">Enneadi </w:t>
      </w:r>
      <w:r w:rsidR="00EC0389">
        <w:rPr>
          <w:sz w:val="28"/>
          <w:szCs w:val="28"/>
        </w:rPr>
        <w:t>di Plotino</w:t>
      </w:r>
      <w:r w:rsidR="006842F1">
        <w:rPr>
          <w:sz w:val="28"/>
          <w:szCs w:val="28"/>
        </w:rPr>
        <w:t>), che riemergono principalmente proprio in età rinascimentale. Talora, infatti, prevale la tentazione di considerarne solo l’approdo, il “monismo” (l’Idea, il Bene, l’Uno), sottovalutandone la “dialettica”, l’intimo svolgimento: il rapporto tra unità e molteplicità, necessità e contingenza, sostanza e accidente.</w:t>
      </w:r>
      <w:r w:rsidR="00883DC2">
        <w:rPr>
          <w:sz w:val="28"/>
          <w:szCs w:val="28"/>
        </w:rPr>
        <w:t xml:space="preserve"> Bruno, naturalmente, con l’idea degli “infiniti mondi”, compie, rispetto a tutto ciò, una sorta di “salto quantico”.</w:t>
      </w:r>
    </w:p>
    <w:p w14:paraId="7DF10B82" w14:textId="089D113B" w:rsidR="00DE18FE" w:rsidRDefault="001B52E2" w:rsidP="008808C8">
      <w:pPr>
        <w:jc w:val="both"/>
        <w:rPr>
          <w:sz w:val="28"/>
          <w:szCs w:val="28"/>
        </w:rPr>
      </w:pPr>
      <w:r>
        <w:rPr>
          <w:sz w:val="28"/>
          <w:szCs w:val="28"/>
        </w:rPr>
        <w:t>Una forma diversa, assai diversa di</w:t>
      </w:r>
      <w:r w:rsidR="00883DC2">
        <w:rPr>
          <w:sz w:val="28"/>
          <w:szCs w:val="28"/>
        </w:rPr>
        <w:t xml:space="preserve"> </w:t>
      </w:r>
      <w:r w:rsidR="00883DC2">
        <w:rPr>
          <w:i/>
          <w:iCs/>
          <w:sz w:val="28"/>
          <w:szCs w:val="28"/>
        </w:rPr>
        <w:t>tensione dei contrari</w:t>
      </w:r>
      <w:r w:rsidR="00883DC2">
        <w:rPr>
          <w:sz w:val="28"/>
          <w:szCs w:val="28"/>
        </w:rPr>
        <w:t xml:space="preserve"> caratterizza le “due storie” di Vico, quella </w:t>
      </w:r>
      <w:proofErr w:type="spellStart"/>
      <w:r w:rsidR="00883DC2">
        <w:rPr>
          <w:sz w:val="28"/>
          <w:szCs w:val="28"/>
        </w:rPr>
        <w:t>ideal</w:t>
      </w:r>
      <w:proofErr w:type="spellEnd"/>
      <w:r w:rsidR="00883DC2">
        <w:rPr>
          <w:sz w:val="28"/>
          <w:szCs w:val="28"/>
        </w:rPr>
        <w:t>-eterna e quella “contingente”, appunto. Sicuramente la “</w:t>
      </w:r>
      <w:proofErr w:type="spellStart"/>
      <w:r w:rsidR="00883DC2">
        <w:rPr>
          <w:sz w:val="28"/>
          <w:szCs w:val="28"/>
        </w:rPr>
        <w:t>Provvedenza</w:t>
      </w:r>
      <w:proofErr w:type="spellEnd"/>
      <w:r w:rsidR="00883DC2">
        <w:rPr>
          <w:sz w:val="28"/>
          <w:szCs w:val="28"/>
        </w:rPr>
        <w:t xml:space="preserve">” vichiana “sorveglia”, per dir così, e orienta la “storia che corre in </w:t>
      </w:r>
      <w:r w:rsidR="00883DC2">
        <w:rPr>
          <w:sz w:val="28"/>
          <w:szCs w:val="28"/>
        </w:rPr>
        <w:lastRenderedPageBreak/>
        <w:t xml:space="preserve">tempo”, </w:t>
      </w:r>
      <w:r>
        <w:rPr>
          <w:sz w:val="28"/>
          <w:szCs w:val="28"/>
        </w:rPr>
        <w:t xml:space="preserve">ma il rapporto fra le due resta aspro, difficile, contraddittorio. </w:t>
      </w:r>
      <w:r w:rsidR="007C4423">
        <w:rPr>
          <w:sz w:val="28"/>
          <w:szCs w:val="28"/>
        </w:rPr>
        <w:t>E in effetti</w:t>
      </w:r>
      <w:r>
        <w:rPr>
          <w:sz w:val="28"/>
          <w:szCs w:val="28"/>
        </w:rPr>
        <w:t xml:space="preserve"> Vico, descrivendo la “dipintura” di Domenico Antonio Vaccaro che apre l’ultima edizione, quella del 1744, della </w:t>
      </w:r>
      <w:r>
        <w:rPr>
          <w:i/>
          <w:iCs/>
          <w:sz w:val="28"/>
          <w:szCs w:val="28"/>
        </w:rPr>
        <w:t>Scienza Nuova</w:t>
      </w:r>
      <w:r>
        <w:rPr>
          <w:sz w:val="28"/>
          <w:szCs w:val="28"/>
        </w:rPr>
        <w:t xml:space="preserve">, spiega che </w:t>
      </w:r>
      <w:r>
        <w:rPr>
          <w:rFonts w:cstheme="minorHAnsi"/>
          <w:sz w:val="28"/>
          <w:szCs w:val="28"/>
        </w:rPr>
        <w:t>«</w:t>
      </w:r>
      <w:r>
        <w:rPr>
          <w:sz w:val="28"/>
          <w:szCs w:val="28"/>
        </w:rPr>
        <w:t xml:space="preserve">Le tenebre nel fondo della dipintura </w:t>
      </w:r>
      <w:r w:rsidR="003C4E37">
        <w:rPr>
          <w:sz w:val="28"/>
          <w:szCs w:val="28"/>
        </w:rPr>
        <w:t>sono la materia di questa Scienza, incerta, informe, oscura</w:t>
      </w:r>
      <w:r w:rsidR="003C4E37">
        <w:rPr>
          <w:rFonts w:cstheme="minorHAnsi"/>
          <w:sz w:val="28"/>
          <w:szCs w:val="28"/>
        </w:rPr>
        <w:t>»</w:t>
      </w:r>
      <w:r w:rsidR="003C4E37">
        <w:rPr>
          <w:sz w:val="28"/>
          <w:szCs w:val="28"/>
        </w:rPr>
        <w:t xml:space="preserve"> (p. 23). Del resto, per comprendere appieno l’immagine vichiana della </w:t>
      </w:r>
      <w:r w:rsidR="003C4E37">
        <w:rPr>
          <w:i/>
          <w:iCs/>
          <w:sz w:val="28"/>
          <w:szCs w:val="28"/>
        </w:rPr>
        <w:t>barbarie della riflessione</w:t>
      </w:r>
      <w:r w:rsidR="003C4E37">
        <w:rPr>
          <w:sz w:val="28"/>
          <w:szCs w:val="28"/>
        </w:rPr>
        <w:t xml:space="preserve">, occorrerebbe leggere </w:t>
      </w:r>
      <w:r w:rsidR="005C75CC">
        <w:rPr>
          <w:sz w:val="28"/>
          <w:szCs w:val="28"/>
        </w:rPr>
        <w:t>almeno una</w:t>
      </w:r>
      <w:r w:rsidR="003C4E37">
        <w:rPr>
          <w:sz w:val="28"/>
          <w:szCs w:val="28"/>
        </w:rPr>
        <w:t xml:space="preserve"> </w:t>
      </w:r>
      <w:r w:rsidR="005C75CC">
        <w:rPr>
          <w:sz w:val="28"/>
          <w:szCs w:val="28"/>
        </w:rPr>
        <w:t xml:space="preserve">sua </w:t>
      </w:r>
      <w:r w:rsidR="003C4E37">
        <w:rPr>
          <w:sz w:val="28"/>
          <w:szCs w:val="28"/>
        </w:rPr>
        <w:t>lettera</w:t>
      </w:r>
      <w:r w:rsidR="005C75CC">
        <w:rPr>
          <w:sz w:val="28"/>
          <w:szCs w:val="28"/>
        </w:rPr>
        <w:t xml:space="preserve"> del </w:t>
      </w:r>
      <w:r w:rsidR="003C4E37">
        <w:rPr>
          <w:sz w:val="28"/>
          <w:szCs w:val="28"/>
        </w:rPr>
        <w:t>1729</w:t>
      </w:r>
      <w:r w:rsidR="00345AC3">
        <w:rPr>
          <w:sz w:val="28"/>
          <w:szCs w:val="28"/>
        </w:rPr>
        <w:t xml:space="preserve">. Il bersaglio polemico è Cartesio: </w:t>
      </w:r>
      <w:r w:rsidR="00345AC3">
        <w:rPr>
          <w:rFonts w:cstheme="minorHAnsi"/>
          <w:sz w:val="28"/>
          <w:szCs w:val="28"/>
        </w:rPr>
        <w:t>«[</w:t>
      </w:r>
      <w:r w:rsidR="00345AC3">
        <w:rPr>
          <w:sz w:val="28"/>
          <w:szCs w:val="28"/>
        </w:rPr>
        <w:t>…</w:t>
      </w:r>
      <w:r w:rsidR="00345AC3">
        <w:rPr>
          <w:rFonts w:cstheme="minorHAnsi"/>
          <w:sz w:val="28"/>
          <w:szCs w:val="28"/>
        </w:rPr>
        <w:t>]</w:t>
      </w:r>
      <w:r w:rsidR="00345AC3">
        <w:rPr>
          <w:sz w:val="28"/>
          <w:szCs w:val="28"/>
        </w:rPr>
        <w:t xml:space="preserve"> Si son abbandonate principalmente per l’autorità di Renato Delle Carte nel suo metodo, ed in grazia del suo metodo, perocché voglia per tutto il suo metodo</w:t>
      </w:r>
      <w:r w:rsidR="00345AC3">
        <w:rPr>
          <w:rFonts w:cstheme="minorHAnsi"/>
          <w:sz w:val="28"/>
          <w:szCs w:val="28"/>
        </w:rPr>
        <w:t>»</w:t>
      </w:r>
      <w:r w:rsidR="00345AC3">
        <w:rPr>
          <w:sz w:val="28"/>
          <w:szCs w:val="28"/>
        </w:rPr>
        <w:t xml:space="preserve"> (p. 92). E, come se il mondo degli uomini consistesse solo di linee, numeri e calcoli algebrici, </w:t>
      </w:r>
      <w:r w:rsidR="00345AC3">
        <w:rPr>
          <w:rFonts w:cstheme="minorHAnsi"/>
          <w:sz w:val="28"/>
          <w:szCs w:val="28"/>
        </w:rPr>
        <w:t>«</w:t>
      </w:r>
      <w:r w:rsidR="00345AC3">
        <w:rPr>
          <w:sz w:val="28"/>
          <w:szCs w:val="28"/>
        </w:rPr>
        <w:t>condannano il verisimile che è il vero per lo più</w:t>
      </w:r>
      <w:r w:rsidR="00FC0C68">
        <w:rPr>
          <w:sz w:val="28"/>
          <w:szCs w:val="28"/>
        </w:rPr>
        <w:t>, che ne dà quella regola nel giudicare che è un gran motivo di vero ciò che sembra vero alla maggior parte degli uomini</w:t>
      </w:r>
      <w:r w:rsidR="00FC0C68">
        <w:rPr>
          <w:rFonts w:cstheme="minorHAnsi"/>
          <w:sz w:val="28"/>
          <w:szCs w:val="28"/>
        </w:rPr>
        <w:t>»</w:t>
      </w:r>
      <w:r w:rsidR="00FC0C68">
        <w:rPr>
          <w:sz w:val="28"/>
          <w:szCs w:val="28"/>
        </w:rPr>
        <w:t xml:space="preserve"> (p. 92). E qui tocchiamo uno dei motivi principali dell’opera di de Giovanni: la riaffermazione chiara e inequivocabile della </w:t>
      </w:r>
      <w:r w:rsidR="00FC0C68">
        <w:rPr>
          <w:i/>
          <w:iCs/>
          <w:sz w:val="28"/>
          <w:szCs w:val="28"/>
        </w:rPr>
        <w:t>pluralità delle radici e dei percorsi del Moderno</w:t>
      </w:r>
      <w:r w:rsidR="00FC0C68">
        <w:rPr>
          <w:sz w:val="28"/>
          <w:szCs w:val="28"/>
        </w:rPr>
        <w:t xml:space="preserve">. Detto altrimenti: contestare il cartesianesimo non vuol dire porsi contro la “modernità” (e non si dimentichi che più volte </w:t>
      </w:r>
      <w:r w:rsidR="00DE18FE">
        <w:rPr>
          <w:sz w:val="28"/>
          <w:szCs w:val="28"/>
        </w:rPr>
        <w:t xml:space="preserve">Vico fa riferimento al “grande Galileo”). La “matematizzazione” della conoscenza non è l’unica via attraverso la quale si afferma il Moderno. </w:t>
      </w:r>
    </w:p>
    <w:p w14:paraId="2F3756A2" w14:textId="77777777" w:rsidR="00877B5C" w:rsidRDefault="00DE18FE" w:rsidP="0088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a caso Bruno da un lato ammira Copernico, che, mediante calcoli matematici, propone la teoria eliocentrica, dall’altro, non senza ironia, ne evidenzia il limite: essersi fermato lì, incapace di superare, con il geocentrismo, l’idea stessa di un “centro” dell’universo. </w:t>
      </w:r>
      <w:r>
        <w:rPr>
          <w:rFonts w:cstheme="minorHAnsi"/>
          <w:sz w:val="28"/>
          <w:szCs w:val="28"/>
        </w:rPr>
        <w:t>È</w:t>
      </w:r>
      <w:r>
        <w:rPr>
          <w:sz w:val="28"/>
          <w:szCs w:val="28"/>
        </w:rPr>
        <w:t xml:space="preserve"> il Nolano a portare a compimento la “rivoluzione copernicana”, con i suoi “infiniti mondi”, che finiscon</w:t>
      </w:r>
      <w:r w:rsidR="00877B5C">
        <w:rPr>
          <w:sz w:val="28"/>
          <w:szCs w:val="28"/>
        </w:rPr>
        <w:t>o</w:t>
      </w:r>
      <w:r>
        <w:rPr>
          <w:sz w:val="28"/>
          <w:szCs w:val="28"/>
        </w:rPr>
        <w:t xml:space="preserve"> per travolgere</w:t>
      </w:r>
      <w:r w:rsidR="00877B5C">
        <w:rPr>
          <w:sz w:val="28"/>
          <w:szCs w:val="28"/>
        </w:rPr>
        <w:t xml:space="preserve"> anche</w:t>
      </w:r>
      <w:r>
        <w:rPr>
          <w:sz w:val="28"/>
          <w:szCs w:val="28"/>
        </w:rPr>
        <w:t xml:space="preserve"> ogni illusione antropocentrica.</w:t>
      </w:r>
      <w:r w:rsidR="00877B5C">
        <w:rPr>
          <w:sz w:val="28"/>
          <w:szCs w:val="28"/>
        </w:rPr>
        <w:t xml:space="preserve"> Ecco, de Giovanni riesce mirabilmente a far dialogare l’opera di Vico con i </w:t>
      </w:r>
      <w:r w:rsidR="00877B5C">
        <w:rPr>
          <w:i/>
          <w:iCs/>
          <w:sz w:val="28"/>
          <w:szCs w:val="28"/>
        </w:rPr>
        <w:t>Dialoghi italiani</w:t>
      </w:r>
      <w:r w:rsidR="00877B5C">
        <w:rPr>
          <w:sz w:val="28"/>
          <w:szCs w:val="28"/>
        </w:rPr>
        <w:t xml:space="preserve"> </w:t>
      </w:r>
      <w:proofErr w:type="spellStart"/>
      <w:r w:rsidR="00877B5C">
        <w:rPr>
          <w:sz w:val="28"/>
          <w:szCs w:val="28"/>
        </w:rPr>
        <w:t>bruniani</w:t>
      </w:r>
      <w:proofErr w:type="spellEnd"/>
      <w:r w:rsidR="00877B5C">
        <w:rPr>
          <w:sz w:val="28"/>
          <w:szCs w:val="28"/>
        </w:rPr>
        <w:t>, scritti tra il 1583 e il 1584.</w:t>
      </w:r>
    </w:p>
    <w:p w14:paraId="7EFC07F0" w14:textId="4A1E7C07" w:rsidR="00883DC2" w:rsidRDefault="00877B5C" w:rsidP="0088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Rispetto a Cartesio, poi, mi sento di aggiungere che la storiografia più avvertita ci indica che le sue dottrine </w:t>
      </w:r>
      <w:r>
        <w:rPr>
          <w:rFonts w:cstheme="minorHAnsi"/>
          <w:sz w:val="28"/>
          <w:szCs w:val="28"/>
        </w:rPr>
        <w:t>«</w:t>
      </w:r>
      <w:r>
        <w:rPr>
          <w:sz w:val="28"/>
          <w:szCs w:val="28"/>
        </w:rPr>
        <w:t>sul soggetto, sul processo conoscitivo e sul linguaggio sono versioni semplificate di teorie ampiamente circolanti negli ambienti universitari del Cinque- e Seicento</w:t>
      </w:r>
      <w:r>
        <w:rPr>
          <w:rFonts w:cstheme="minorHAnsi"/>
          <w:sz w:val="28"/>
          <w:szCs w:val="28"/>
        </w:rPr>
        <w:t>»</w:t>
      </w:r>
      <w:r>
        <w:rPr>
          <w:sz w:val="28"/>
          <w:szCs w:val="28"/>
        </w:rPr>
        <w:t xml:space="preserve"> (cito da </w:t>
      </w:r>
      <w:r>
        <w:rPr>
          <w:i/>
          <w:iCs/>
          <w:sz w:val="28"/>
          <w:szCs w:val="28"/>
        </w:rPr>
        <w:t>La filosofia universitaria tra XV e XVII secolo</w:t>
      </w:r>
      <w:r w:rsidR="00371A5C">
        <w:rPr>
          <w:sz w:val="28"/>
          <w:szCs w:val="28"/>
        </w:rPr>
        <w:t xml:space="preserve">, di Marco Forlivesi, p. 81). Un motivo in più per superare l’equazione tra il </w:t>
      </w:r>
      <w:r w:rsidR="00371A5C">
        <w:rPr>
          <w:i/>
          <w:iCs/>
          <w:sz w:val="28"/>
          <w:szCs w:val="28"/>
        </w:rPr>
        <w:t>cogito</w:t>
      </w:r>
      <w:r w:rsidR="00371A5C">
        <w:rPr>
          <w:sz w:val="28"/>
          <w:szCs w:val="28"/>
        </w:rPr>
        <w:t xml:space="preserve"> cartesiano e la modernità.</w:t>
      </w:r>
      <w:r w:rsidR="00DE18FE">
        <w:rPr>
          <w:sz w:val="28"/>
          <w:szCs w:val="28"/>
        </w:rPr>
        <w:t xml:space="preserve"> </w:t>
      </w:r>
      <w:r w:rsidR="00345AC3">
        <w:rPr>
          <w:sz w:val="28"/>
          <w:szCs w:val="28"/>
        </w:rPr>
        <w:t xml:space="preserve"> </w:t>
      </w:r>
      <w:r w:rsidR="001B52E2">
        <w:rPr>
          <w:sz w:val="28"/>
          <w:szCs w:val="28"/>
        </w:rPr>
        <w:t xml:space="preserve"> </w:t>
      </w:r>
      <w:r w:rsidR="00883DC2">
        <w:rPr>
          <w:sz w:val="28"/>
          <w:szCs w:val="28"/>
        </w:rPr>
        <w:t xml:space="preserve"> </w:t>
      </w:r>
    </w:p>
    <w:p w14:paraId="1C4AD55E" w14:textId="77777777" w:rsidR="001453A6" w:rsidRDefault="00867357" w:rsidP="0088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Getta altra luce sul libro la considerazione dei vocaboli che in esso più ricorrono: </w:t>
      </w:r>
      <w:r>
        <w:rPr>
          <w:i/>
          <w:iCs/>
          <w:sz w:val="28"/>
          <w:szCs w:val="28"/>
        </w:rPr>
        <w:t>travaglio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tensione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inquietudine/inquieto</w:t>
      </w:r>
      <w:r>
        <w:rPr>
          <w:sz w:val="28"/>
          <w:szCs w:val="28"/>
        </w:rPr>
        <w:t>. Non di rado, infatti, l’espressione “Filosofia della Storia” viene intesa come un rimando ai tentativi di imbrigliare i fatti e le esistenze</w:t>
      </w:r>
      <w:r w:rsidR="00606A5E">
        <w:rPr>
          <w:sz w:val="28"/>
          <w:szCs w:val="28"/>
        </w:rPr>
        <w:t>, piegandoli a un qualche “senso”, o “fine”: una forzatura, rispetto al fluire imprevedibile, caotico, opaco delle persone e delle cose. Qui, al contrario, la storia (o le storie) si ricongiunge alla vita (alle vite):</w:t>
      </w:r>
      <w:r w:rsidR="001453A6">
        <w:rPr>
          <w:sz w:val="28"/>
          <w:szCs w:val="28"/>
        </w:rPr>
        <w:t xml:space="preserve"> di sicuro è </w:t>
      </w:r>
      <w:r w:rsidR="00606A5E">
        <w:rPr>
          <w:sz w:val="28"/>
          <w:szCs w:val="28"/>
        </w:rPr>
        <w:t>un ricongiungersi problematico,</w:t>
      </w:r>
      <w:r w:rsidR="001453A6">
        <w:rPr>
          <w:sz w:val="28"/>
          <w:szCs w:val="28"/>
        </w:rPr>
        <w:t xml:space="preserve"> </w:t>
      </w:r>
      <w:r w:rsidR="00606A5E">
        <w:rPr>
          <w:sz w:val="28"/>
          <w:szCs w:val="28"/>
        </w:rPr>
        <w:t xml:space="preserve">difficile, dall’esito non scontato, ma è come se si recuperassero i nessi, per quanto </w:t>
      </w:r>
      <w:r w:rsidR="00606A5E">
        <w:rPr>
          <w:sz w:val="28"/>
          <w:szCs w:val="28"/>
        </w:rPr>
        <w:lastRenderedPageBreak/>
        <w:t>labili, provvisori e incerti, tra Vita, Pensiero, Storia</w:t>
      </w:r>
      <w:r w:rsidR="001453A6">
        <w:rPr>
          <w:sz w:val="28"/>
          <w:szCs w:val="28"/>
        </w:rPr>
        <w:t>. Ed è in quei chiaroscuri, in quei balbettii, nella precarietà di quei nessi, in fondo, che si situa la “filosofia meridionale”, nella quale, nel mio piccolo, mi ritrovo.</w:t>
      </w:r>
    </w:p>
    <w:p w14:paraId="60457A4A" w14:textId="0DABA851" w:rsidR="00F844F1" w:rsidRDefault="001453A6" w:rsidP="008808C8">
      <w:pPr>
        <w:jc w:val="both"/>
        <w:rPr>
          <w:sz w:val="28"/>
          <w:szCs w:val="28"/>
        </w:rPr>
      </w:pPr>
      <w:r>
        <w:rPr>
          <w:sz w:val="28"/>
          <w:szCs w:val="28"/>
        </w:rPr>
        <w:t>Vita è anche Corpo. E Vico scorge nel corpo, ne</w:t>
      </w:r>
      <w:r w:rsidR="003B6572">
        <w:rPr>
          <w:sz w:val="28"/>
          <w:szCs w:val="28"/>
        </w:rPr>
        <w:t>i suoi sensi, nelle</w:t>
      </w:r>
      <w:r>
        <w:rPr>
          <w:sz w:val="28"/>
          <w:szCs w:val="28"/>
        </w:rPr>
        <w:t xml:space="preserve"> sue passioni</w:t>
      </w:r>
      <w:r w:rsidR="003B6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 motivo fondamentale, accanto alla Mente e con essa in relazione. In Bruno il discorso è più controverso: egli, </w:t>
      </w:r>
      <w:r w:rsidR="00D05D7F">
        <w:rPr>
          <w:sz w:val="28"/>
          <w:szCs w:val="28"/>
        </w:rPr>
        <w:t xml:space="preserve">in </w:t>
      </w:r>
      <w:r w:rsidR="00D05D7F">
        <w:rPr>
          <w:i/>
          <w:iCs/>
          <w:sz w:val="28"/>
          <w:szCs w:val="28"/>
        </w:rPr>
        <w:t>De gli eroici furori</w:t>
      </w:r>
      <w:r w:rsidR="00D05D7F">
        <w:rPr>
          <w:sz w:val="28"/>
          <w:szCs w:val="28"/>
        </w:rPr>
        <w:t>, parla di “</w:t>
      </w:r>
      <w:proofErr w:type="spellStart"/>
      <w:r w:rsidR="00D05D7F">
        <w:rPr>
          <w:sz w:val="28"/>
          <w:szCs w:val="28"/>
        </w:rPr>
        <w:t>priggione</w:t>
      </w:r>
      <w:proofErr w:type="spellEnd"/>
      <w:r w:rsidR="00D05D7F">
        <w:rPr>
          <w:sz w:val="28"/>
          <w:szCs w:val="28"/>
        </w:rPr>
        <w:t xml:space="preserve"> della carne”, la quale, tuttavia, </w:t>
      </w:r>
      <w:r w:rsidR="00D05D7F">
        <w:rPr>
          <w:rFonts w:cstheme="minorHAnsi"/>
          <w:sz w:val="28"/>
          <w:szCs w:val="28"/>
        </w:rPr>
        <w:t>«</w:t>
      </w:r>
      <w:r w:rsidR="00D05D7F">
        <w:rPr>
          <w:sz w:val="28"/>
          <w:szCs w:val="28"/>
        </w:rPr>
        <w:t>è parte decisiva della mediazione dei contrari, altrimenti con chi e con che cosa essa avverrebbe?</w:t>
      </w:r>
      <w:r w:rsidR="00D05D7F">
        <w:rPr>
          <w:rFonts w:cstheme="minorHAnsi"/>
          <w:sz w:val="28"/>
          <w:szCs w:val="28"/>
        </w:rPr>
        <w:t>»</w:t>
      </w:r>
      <w:r w:rsidR="00D05D7F">
        <w:rPr>
          <w:sz w:val="28"/>
          <w:szCs w:val="28"/>
        </w:rPr>
        <w:t xml:space="preserve"> (p. 59)</w:t>
      </w:r>
      <w:r w:rsidR="003B6572">
        <w:rPr>
          <w:sz w:val="28"/>
          <w:szCs w:val="28"/>
        </w:rPr>
        <w:t xml:space="preserve">. Del resto, “il punto dell’unione” tra finito e infinito (o eterno) viene colto dai due filosofi non in concetti o in percorsi logici o gnoseologici, bensì, da Bruno, nel </w:t>
      </w:r>
      <w:r w:rsidR="003B6572">
        <w:rPr>
          <w:i/>
          <w:iCs/>
          <w:sz w:val="28"/>
          <w:szCs w:val="28"/>
        </w:rPr>
        <w:t>furioso</w:t>
      </w:r>
      <w:r w:rsidR="003B6572">
        <w:rPr>
          <w:sz w:val="28"/>
          <w:szCs w:val="28"/>
        </w:rPr>
        <w:t xml:space="preserve"> e, da Vico, negli </w:t>
      </w:r>
      <w:r w:rsidR="003B6572">
        <w:rPr>
          <w:i/>
          <w:iCs/>
          <w:sz w:val="28"/>
          <w:szCs w:val="28"/>
        </w:rPr>
        <w:t>eroi</w:t>
      </w:r>
      <w:r w:rsidR="003B6572">
        <w:rPr>
          <w:sz w:val="28"/>
          <w:szCs w:val="28"/>
        </w:rPr>
        <w:t xml:space="preserve">. </w:t>
      </w:r>
      <w:r w:rsidR="00F72D28">
        <w:rPr>
          <w:sz w:val="28"/>
          <w:szCs w:val="28"/>
        </w:rPr>
        <w:t xml:space="preserve">Il </w:t>
      </w:r>
      <w:proofErr w:type="spellStart"/>
      <w:r w:rsidR="00F72D28">
        <w:rPr>
          <w:i/>
          <w:iCs/>
          <w:sz w:val="28"/>
          <w:szCs w:val="28"/>
        </w:rPr>
        <w:t>furiosus</w:t>
      </w:r>
      <w:proofErr w:type="spellEnd"/>
      <w:r w:rsidR="00F72D28">
        <w:rPr>
          <w:sz w:val="28"/>
          <w:szCs w:val="28"/>
        </w:rPr>
        <w:t xml:space="preserve"> riesce ad approssimarsi alla luce e a rendersi consapevolmente partecipe della materia-vita infinita: la sua è una condizione rarissima, eccezionale. Al tempo stesso, </w:t>
      </w:r>
      <w:r w:rsidR="00F72D28">
        <w:rPr>
          <w:rFonts w:cstheme="minorHAnsi"/>
          <w:sz w:val="28"/>
          <w:szCs w:val="28"/>
        </w:rPr>
        <w:t>«</w:t>
      </w:r>
      <w:r w:rsidR="00F72D28">
        <w:rPr>
          <w:sz w:val="28"/>
          <w:szCs w:val="28"/>
        </w:rPr>
        <w:t>la moltitudine degli uomini</w:t>
      </w:r>
      <w:r w:rsidR="00F72D28">
        <w:rPr>
          <w:rFonts w:cstheme="minorHAnsi"/>
          <w:sz w:val="28"/>
          <w:szCs w:val="28"/>
        </w:rPr>
        <w:t>» prova nei suoi confronti grande «</w:t>
      </w:r>
      <w:proofErr w:type="spellStart"/>
      <w:r w:rsidR="00F72D28">
        <w:rPr>
          <w:rFonts w:cstheme="minorHAnsi"/>
          <w:sz w:val="28"/>
          <w:szCs w:val="28"/>
        </w:rPr>
        <w:t>admirazion</w:t>
      </w:r>
      <w:proofErr w:type="spellEnd"/>
      <w:r w:rsidR="00F72D28">
        <w:rPr>
          <w:rFonts w:cstheme="minorHAnsi"/>
          <w:sz w:val="28"/>
          <w:szCs w:val="28"/>
        </w:rPr>
        <w:t xml:space="preserve"> e fede» (p. 58). E qui si intravede un suo ruolo politico (come non pensare al platonico “mito della caverna”</w:t>
      </w:r>
      <w:r w:rsidR="00F844F1">
        <w:rPr>
          <w:rFonts w:cstheme="minorHAnsi"/>
          <w:sz w:val="28"/>
          <w:szCs w:val="28"/>
        </w:rPr>
        <w:t>, citato peraltro esplicitamente</w:t>
      </w:r>
      <w:r w:rsidR="00F72D28">
        <w:rPr>
          <w:rFonts w:cstheme="minorHAnsi"/>
          <w:sz w:val="28"/>
          <w:szCs w:val="28"/>
        </w:rPr>
        <w:t>?).</w:t>
      </w:r>
      <w:r w:rsidR="003941AA">
        <w:rPr>
          <w:rFonts w:cstheme="minorHAnsi"/>
          <w:sz w:val="28"/>
          <w:szCs w:val="28"/>
        </w:rPr>
        <w:t xml:space="preserve"> La condizione uman</w:t>
      </w:r>
      <w:r w:rsidR="007C4423">
        <w:rPr>
          <w:rFonts w:cstheme="minorHAnsi"/>
          <w:sz w:val="28"/>
          <w:szCs w:val="28"/>
        </w:rPr>
        <w:t>a</w:t>
      </w:r>
      <w:r w:rsidR="003941AA">
        <w:rPr>
          <w:rFonts w:cstheme="minorHAnsi"/>
          <w:sz w:val="28"/>
          <w:szCs w:val="28"/>
        </w:rPr>
        <w:t>, tuttavia, quella “ordinaria” resta situata nell’</w:t>
      </w:r>
      <w:r w:rsidR="003941AA">
        <w:rPr>
          <w:rFonts w:cstheme="minorHAnsi"/>
          <w:i/>
          <w:iCs/>
          <w:sz w:val="28"/>
          <w:szCs w:val="28"/>
        </w:rPr>
        <w:t>ombra</w:t>
      </w:r>
      <w:r w:rsidR="003941AA">
        <w:rPr>
          <w:rFonts w:cstheme="minorHAnsi"/>
          <w:sz w:val="28"/>
          <w:szCs w:val="28"/>
        </w:rPr>
        <w:t>: né luce né tenebre, la nostra è una dimensione propriamente umbratile.</w:t>
      </w:r>
      <w:r w:rsidR="00F72D28">
        <w:rPr>
          <w:rFonts w:cstheme="minorHAnsi"/>
          <w:sz w:val="28"/>
          <w:szCs w:val="28"/>
        </w:rPr>
        <w:t xml:space="preserve"> E la </w:t>
      </w:r>
      <w:r w:rsidR="00313DBF">
        <w:rPr>
          <w:rFonts w:cstheme="minorHAnsi"/>
          <w:sz w:val="28"/>
          <w:szCs w:val="28"/>
        </w:rPr>
        <w:t>“</w:t>
      </w:r>
      <w:proofErr w:type="spellStart"/>
      <w:r w:rsidR="00313DBF">
        <w:rPr>
          <w:rFonts w:cstheme="minorHAnsi"/>
          <w:sz w:val="28"/>
          <w:szCs w:val="28"/>
        </w:rPr>
        <w:t>Conchiusione</w:t>
      </w:r>
      <w:proofErr w:type="spellEnd"/>
      <w:r w:rsidR="00313DBF">
        <w:rPr>
          <w:rFonts w:cstheme="minorHAnsi"/>
          <w:sz w:val="28"/>
          <w:szCs w:val="28"/>
        </w:rPr>
        <w:t xml:space="preserve">” della </w:t>
      </w:r>
      <w:r w:rsidR="00313DBF">
        <w:rPr>
          <w:rFonts w:cstheme="minorHAnsi"/>
          <w:i/>
          <w:iCs/>
          <w:sz w:val="28"/>
          <w:szCs w:val="28"/>
        </w:rPr>
        <w:t xml:space="preserve">Scienza Nuova </w:t>
      </w:r>
      <w:r w:rsidR="00313DBF">
        <w:rPr>
          <w:rFonts w:cstheme="minorHAnsi"/>
          <w:sz w:val="28"/>
          <w:szCs w:val="28"/>
        </w:rPr>
        <w:t>vichiana, che muove «dalla crisi che attraversò la civiltà di Roma», ne mostra più che mai la politicità: la sua «è filosofia politica», non filosofia «di “filosofi monastici e solitari”» (p. 88). E in entrambi gli autori, come del resto in Niccolò Machiavelli e in altri, la religione, quella “vera”, sembra rispondere soprattutto a un’esigenza di coesione sociale e politica, ponendosi,</w:t>
      </w:r>
      <w:r w:rsidR="00CA7EFF">
        <w:rPr>
          <w:rFonts w:cstheme="minorHAnsi"/>
          <w:sz w:val="28"/>
          <w:szCs w:val="28"/>
        </w:rPr>
        <w:t xml:space="preserve"> dunque, come “religione civile”. Da qui, ad esempio, l’intransigente polemica del Nolano, più veemente che mai nello </w:t>
      </w:r>
      <w:r w:rsidR="00CA7EFF">
        <w:rPr>
          <w:rFonts w:cstheme="minorHAnsi"/>
          <w:i/>
          <w:iCs/>
          <w:sz w:val="28"/>
          <w:szCs w:val="28"/>
        </w:rPr>
        <w:t>Spaccio della bestia trionfante</w:t>
      </w:r>
      <w:r w:rsidR="00CA7EFF">
        <w:rPr>
          <w:rFonts w:cstheme="minorHAnsi"/>
          <w:sz w:val="28"/>
          <w:szCs w:val="28"/>
        </w:rPr>
        <w:t>, nei confronti del cristianesimo, del papato, della Riforma protestante, forieri di discordia e sangue</w:t>
      </w:r>
      <w:r w:rsidR="00F844F1">
        <w:rPr>
          <w:rFonts w:cstheme="minorHAnsi"/>
          <w:sz w:val="28"/>
          <w:szCs w:val="28"/>
        </w:rPr>
        <w:t>.</w:t>
      </w:r>
      <w:r w:rsidR="00CA7EFF">
        <w:rPr>
          <w:rFonts w:cstheme="minorHAnsi"/>
          <w:sz w:val="28"/>
          <w:szCs w:val="28"/>
        </w:rPr>
        <w:t xml:space="preserve"> </w:t>
      </w:r>
      <w:r w:rsidR="00606A5E">
        <w:rPr>
          <w:sz w:val="28"/>
          <w:szCs w:val="28"/>
        </w:rPr>
        <w:t xml:space="preserve"> </w:t>
      </w:r>
    </w:p>
    <w:p w14:paraId="419FB682" w14:textId="113E6DCB" w:rsidR="00867357" w:rsidRDefault="00F844F1" w:rsidP="0088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Entrambi, poi, si pongono come filosofi “apocalittici”. La scoperta </w:t>
      </w:r>
      <w:proofErr w:type="spellStart"/>
      <w:r>
        <w:rPr>
          <w:sz w:val="28"/>
          <w:szCs w:val="28"/>
        </w:rPr>
        <w:t>bruniana</w:t>
      </w:r>
      <w:proofErr w:type="spell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«</w:t>
      </w:r>
      <w:r>
        <w:rPr>
          <w:sz w:val="28"/>
          <w:szCs w:val="28"/>
        </w:rPr>
        <w:t>degli infiniti mondi gli consente di attribuirsi il ruolo di un Mercurio capace di offrire all’umanità una prospettiva di salvezza</w:t>
      </w:r>
      <w:r>
        <w:rPr>
          <w:rFonts w:cstheme="minorHAnsi"/>
          <w:sz w:val="28"/>
          <w:szCs w:val="28"/>
        </w:rPr>
        <w:t>»</w:t>
      </w:r>
      <w:r>
        <w:rPr>
          <w:sz w:val="28"/>
          <w:szCs w:val="28"/>
        </w:rPr>
        <w:t xml:space="preserve"> (p. 95); Vico, dal canto suo, </w:t>
      </w:r>
      <w:r>
        <w:rPr>
          <w:rFonts w:cstheme="minorHAnsi"/>
          <w:sz w:val="28"/>
          <w:szCs w:val="28"/>
        </w:rPr>
        <w:t>«</w:t>
      </w:r>
      <w:r>
        <w:rPr>
          <w:sz w:val="28"/>
          <w:szCs w:val="28"/>
        </w:rPr>
        <w:t>racconta situazioni ultimative di crisi, irrisolvibili se non con l’immaginazione di un ritorno all’origine, capace di cancellare, con un colpo di spugna, la storia fino ad allora accaduta</w:t>
      </w:r>
      <w:r w:rsidR="003941AA">
        <w:rPr>
          <w:rFonts w:cstheme="minorHAnsi"/>
          <w:sz w:val="28"/>
          <w:szCs w:val="28"/>
        </w:rPr>
        <w:t>»</w:t>
      </w:r>
      <w:r w:rsidR="003941AA">
        <w:rPr>
          <w:sz w:val="28"/>
          <w:szCs w:val="28"/>
        </w:rPr>
        <w:t xml:space="preserve"> (p. 95).</w:t>
      </w:r>
      <w:r w:rsidR="00606A5E">
        <w:rPr>
          <w:sz w:val="28"/>
          <w:szCs w:val="28"/>
        </w:rPr>
        <w:t xml:space="preserve"> </w:t>
      </w:r>
      <w:r w:rsidR="00867357">
        <w:rPr>
          <w:sz w:val="28"/>
          <w:szCs w:val="28"/>
        </w:rPr>
        <w:t xml:space="preserve"> </w:t>
      </w:r>
    </w:p>
    <w:p w14:paraId="046CCC8C" w14:textId="205984C0" w:rsidR="003941AA" w:rsidRDefault="003941AA" w:rsidP="0088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Tale filosofia “napoletana” e “meridionale”, naturalmente, è nutrita da altri autori: si guardi a Telesio o a Campanella. Quasi vi fosse una comune sensibilità, pur nelle differenze profonde. Secoli dopo, poniamo, </w:t>
      </w:r>
      <w:r w:rsidR="00613E7D">
        <w:rPr>
          <w:sz w:val="28"/>
          <w:szCs w:val="28"/>
        </w:rPr>
        <w:t xml:space="preserve">Bertrando Spaventa studierà Bruno, soffermandosi sull’idea dello scontro e della mediazione dei contrari e, per certi versi, Bruno lo aiuterà a comprendere Hegel e, reciprocamente, Hegel lo aiuterà a “leggere” Bruno. Una sensibilità comune, suggerisce de Giovanni, caratterizzata dal tema della Vita. Giovanni Gentile, ad esempio, </w:t>
      </w:r>
      <w:r w:rsidR="0044738E">
        <w:rPr>
          <w:sz w:val="28"/>
          <w:szCs w:val="28"/>
        </w:rPr>
        <w:t xml:space="preserve">a proposito dell’autocreazione dell’Atto, parla </w:t>
      </w:r>
      <w:r w:rsidR="0044738E">
        <w:rPr>
          <w:rFonts w:cstheme="minorHAnsi"/>
          <w:sz w:val="28"/>
          <w:szCs w:val="28"/>
        </w:rPr>
        <w:t>«</w:t>
      </w:r>
      <w:r w:rsidR="0044738E">
        <w:rPr>
          <w:sz w:val="28"/>
          <w:szCs w:val="28"/>
        </w:rPr>
        <w:t xml:space="preserve">di </w:t>
      </w:r>
      <w:r w:rsidR="0044738E">
        <w:rPr>
          <w:sz w:val="28"/>
          <w:szCs w:val="28"/>
        </w:rPr>
        <w:lastRenderedPageBreak/>
        <w:t>quella storicità interna all’eternità di in essere che è non-essere, eterno divenire, e non lascia nessun residuo oltre di sé, e può risorgere continuamente da sé stesso perché in sé stesso è compresa tutta l’energia storico-vitale del mondo</w:t>
      </w:r>
      <w:r w:rsidR="0044738E">
        <w:rPr>
          <w:rFonts w:cstheme="minorHAnsi"/>
          <w:sz w:val="28"/>
          <w:szCs w:val="28"/>
        </w:rPr>
        <w:t>»</w:t>
      </w:r>
      <w:r w:rsidR="0044738E">
        <w:rPr>
          <w:sz w:val="28"/>
          <w:szCs w:val="28"/>
        </w:rPr>
        <w:t xml:space="preserve"> (pp. 127-128). E che dire del travaglio di Benedetto Croce, dopo la “svolta” della seconda metà degli anni Trenta, quando la rassicurante “circolarità” del suo “sistema” lascia spazio alla tensione tra Vitalità e Moralità e ai </w:t>
      </w:r>
      <w:r w:rsidR="0044738E">
        <w:rPr>
          <w:rFonts w:cstheme="minorHAnsi"/>
          <w:sz w:val="28"/>
          <w:szCs w:val="28"/>
        </w:rPr>
        <w:t>«</w:t>
      </w:r>
      <w:r w:rsidR="0044738E">
        <w:rPr>
          <w:sz w:val="28"/>
          <w:szCs w:val="28"/>
        </w:rPr>
        <w:t>coni d’ombra permanenti nei quali è avvolta la storia dell’umanità</w:t>
      </w:r>
      <w:r w:rsidR="00BA67F8">
        <w:rPr>
          <w:rFonts w:cstheme="minorHAnsi"/>
          <w:sz w:val="28"/>
          <w:szCs w:val="28"/>
        </w:rPr>
        <w:t>»</w:t>
      </w:r>
      <w:r w:rsidR="00BA67F8">
        <w:rPr>
          <w:sz w:val="28"/>
          <w:szCs w:val="28"/>
        </w:rPr>
        <w:t xml:space="preserve"> (p. 139)?</w:t>
      </w:r>
    </w:p>
    <w:p w14:paraId="09221F80" w14:textId="77777777" w:rsidR="003941AA" w:rsidRPr="00867357" w:rsidRDefault="003941AA" w:rsidP="008808C8">
      <w:pPr>
        <w:jc w:val="both"/>
        <w:rPr>
          <w:sz w:val="28"/>
          <w:szCs w:val="28"/>
        </w:rPr>
      </w:pPr>
    </w:p>
    <w:sectPr w:rsidR="003941AA" w:rsidRPr="00867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C8"/>
    <w:rsid w:val="001453A6"/>
    <w:rsid w:val="001B52E2"/>
    <w:rsid w:val="00313DBF"/>
    <w:rsid w:val="00345AC3"/>
    <w:rsid w:val="00371A5C"/>
    <w:rsid w:val="003941AA"/>
    <w:rsid w:val="003B6572"/>
    <w:rsid w:val="003C4E37"/>
    <w:rsid w:val="0044738E"/>
    <w:rsid w:val="004C63CD"/>
    <w:rsid w:val="005C75CC"/>
    <w:rsid w:val="00606A5E"/>
    <w:rsid w:val="00613E7D"/>
    <w:rsid w:val="00634995"/>
    <w:rsid w:val="006842F1"/>
    <w:rsid w:val="00786D06"/>
    <w:rsid w:val="007C4423"/>
    <w:rsid w:val="00806A8A"/>
    <w:rsid w:val="00867357"/>
    <w:rsid w:val="00877B5C"/>
    <w:rsid w:val="008808C8"/>
    <w:rsid w:val="00883DC2"/>
    <w:rsid w:val="00B01468"/>
    <w:rsid w:val="00BA67F8"/>
    <w:rsid w:val="00CA7EFF"/>
    <w:rsid w:val="00D05D7F"/>
    <w:rsid w:val="00D257DE"/>
    <w:rsid w:val="00D73BFB"/>
    <w:rsid w:val="00DE18FE"/>
    <w:rsid w:val="00EC0389"/>
    <w:rsid w:val="00F72D28"/>
    <w:rsid w:val="00F844F1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D6F8"/>
  <w15:chartTrackingRefBased/>
  <w15:docId w15:val="{EA70066D-86AB-41BB-9BE4-BE05414C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Di Matteo</dc:creator>
  <cp:keywords/>
  <dc:description/>
  <cp:lastModifiedBy>Simone</cp:lastModifiedBy>
  <cp:revision>2</cp:revision>
  <dcterms:created xsi:type="dcterms:W3CDTF">2024-05-06T08:53:00Z</dcterms:created>
  <dcterms:modified xsi:type="dcterms:W3CDTF">2024-05-06T08:53:00Z</dcterms:modified>
</cp:coreProperties>
</file>